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1B3" w:rsidP="00AE621B" w:rsidRDefault="3E3D7B56" w14:paraId="7E02CD73" w14:textId="1050289E">
      <w:pPr>
        <w:spacing w:after="0" w:line="240" w:lineRule="auto"/>
        <w:jc w:val="center"/>
        <w:rPr>
          <w:b/>
          <w:bCs/>
          <w:sz w:val="36"/>
          <w:szCs w:val="36"/>
          <w:lang w:val="es-MX"/>
        </w:rPr>
      </w:pPr>
      <w:r w:rsidRPr="00442970">
        <w:rPr>
          <w:b/>
          <w:bCs/>
          <w:sz w:val="36"/>
          <w:szCs w:val="36"/>
          <w:lang w:val="es-MX"/>
        </w:rPr>
        <w:t xml:space="preserve">Logística digital de última milla, </w:t>
      </w:r>
      <w:r w:rsidRPr="00442970">
        <w:rPr>
          <w:lang w:val="es-MX"/>
        </w:rPr>
        <w:br/>
      </w:r>
      <w:r w:rsidRPr="00442970">
        <w:rPr>
          <w:b/>
          <w:bCs/>
          <w:sz w:val="36"/>
          <w:szCs w:val="36"/>
          <w:lang w:val="es-MX"/>
        </w:rPr>
        <w:t>componente estratégico del e-commerce en México</w:t>
      </w:r>
    </w:p>
    <w:p w:rsidRPr="00442970" w:rsidR="00AE621B" w:rsidP="00AE621B" w:rsidRDefault="00AE621B" w14:paraId="41740263" w14:textId="77777777">
      <w:pPr>
        <w:spacing w:after="0" w:line="240" w:lineRule="auto"/>
        <w:jc w:val="center"/>
        <w:rPr>
          <w:b/>
          <w:bCs/>
          <w:sz w:val="36"/>
          <w:szCs w:val="36"/>
          <w:lang w:val="es-MX"/>
        </w:rPr>
      </w:pPr>
    </w:p>
    <w:p w:rsidR="00C371B3" w:rsidP="00AE621B" w:rsidRDefault="3E3D7B56" w14:paraId="57DC5A2C" w14:textId="6AEB4132">
      <w:pPr>
        <w:spacing w:after="0" w:line="240" w:lineRule="auto"/>
        <w:jc w:val="both"/>
        <w:rPr>
          <w:lang w:val="es-MX"/>
        </w:rPr>
      </w:pPr>
      <w:r w:rsidRPr="77CD9098" w:rsidR="3E3D7B56">
        <w:rPr>
          <w:lang w:val="es-MX"/>
        </w:rPr>
        <w:t xml:space="preserve">CIUDAD DE MÉXICO. </w:t>
      </w:r>
      <w:r w:rsidRPr="77CD9098" w:rsidR="61D824F1">
        <w:rPr>
          <w:lang w:val="es-MX"/>
        </w:rPr>
        <w:t xml:space="preserve">16 </w:t>
      </w:r>
      <w:r w:rsidRPr="77CD9098" w:rsidR="3E3D7B56">
        <w:rPr>
          <w:lang w:val="es-MX"/>
        </w:rPr>
        <w:t xml:space="preserve">de abril de 2024.- El auge del comercio electrónico, que sigue creciendo a doble dígito cada año, no </w:t>
      </w:r>
      <w:r w:rsidRPr="77CD9098" w:rsidR="38BA0F3F">
        <w:rPr>
          <w:lang w:val="es-MX"/>
        </w:rPr>
        <w:t>es posible sin la correcta optimización digital de la</w:t>
      </w:r>
      <w:r w:rsidRPr="77CD9098" w:rsidR="3E3D7B56">
        <w:rPr>
          <w:lang w:val="es-MX"/>
        </w:rPr>
        <w:t xml:space="preserve"> logística de última milla. Este componente crucial no sólo es un desafío logístico; es una oportunidad estratégica para mejorar la experiencia del cliente. </w:t>
      </w:r>
    </w:p>
    <w:p w:rsidRPr="00442970" w:rsidR="00AE621B" w:rsidP="00AE621B" w:rsidRDefault="00AE621B" w14:paraId="1CDC54B0" w14:textId="77777777">
      <w:pPr>
        <w:spacing w:after="0" w:line="240" w:lineRule="auto"/>
        <w:jc w:val="both"/>
        <w:rPr>
          <w:lang w:val="es-MX"/>
        </w:rPr>
      </w:pPr>
    </w:p>
    <w:p w:rsidRPr="00442970" w:rsidR="00C371B3" w:rsidP="00AE621B" w:rsidRDefault="3E3D7B56" w14:paraId="1481AB52" w14:textId="013AE986">
      <w:pPr>
        <w:spacing w:after="0" w:line="240" w:lineRule="auto"/>
        <w:jc w:val="both"/>
        <w:rPr>
          <w:lang w:val="es-MX"/>
        </w:rPr>
      </w:pPr>
      <w:r w:rsidRPr="00442970">
        <w:rPr>
          <w:lang w:val="es-MX"/>
        </w:rPr>
        <w:t xml:space="preserve">Según estudios recientes, se espera que el mercado mundial de la logística de última milla crezca a una </w:t>
      </w:r>
      <w:r w:rsidRPr="00442970" w:rsidR="2FE83BE0">
        <w:rPr>
          <w:lang w:val="es-MX"/>
        </w:rPr>
        <w:t>tasa anual compuesta (</w:t>
      </w:r>
      <w:r w:rsidRPr="00442970">
        <w:rPr>
          <w:lang w:val="es-MX"/>
        </w:rPr>
        <w:t>CAGR</w:t>
      </w:r>
      <w:r w:rsidRPr="00442970" w:rsidR="5D62F60F">
        <w:rPr>
          <w:lang w:val="es-MX"/>
        </w:rPr>
        <w:t>)</w:t>
      </w:r>
      <w:r w:rsidRPr="00442970">
        <w:rPr>
          <w:lang w:val="es-MX"/>
        </w:rPr>
        <w:t xml:space="preserve"> del </w:t>
      </w:r>
      <w:hyperlink r:id="rId10">
        <w:r w:rsidRPr="00442970">
          <w:rPr>
            <w:rStyle w:val="Hipervnculo"/>
            <w:lang w:val="es-MX"/>
          </w:rPr>
          <w:t>14.78% en los próximos seis años</w:t>
        </w:r>
      </w:hyperlink>
      <w:r w:rsidRPr="00442970">
        <w:rPr>
          <w:lang w:val="es-MX"/>
        </w:rPr>
        <w:t xml:space="preserve">, con un mercado en América Latina que alcanzará los </w:t>
      </w:r>
      <w:hyperlink r:id="rId11">
        <w:r w:rsidRPr="00442970">
          <w:rPr>
            <w:rStyle w:val="Hipervnculo"/>
            <w:lang w:val="es-MX"/>
          </w:rPr>
          <w:t>9.38 mil millones de dólares en 2029.</w:t>
        </w:r>
      </w:hyperlink>
    </w:p>
    <w:p w:rsidR="00C371B3" w:rsidP="00AE621B" w:rsidRDefault="3E3D7B56" w14:paraId="0D0B4916" w14:textId="437CFA66">
      <w:pPr>
        <w:spacing w:after="0" w:line="240" w:lineRule="auto"/>
        <w:jc w:val="both"/>
        <w:rPr>
          <w:lang w:val="es-MX"/>
        </w:rPr>
      </w:pPr>
      <w:r w:rsidRPr="00442970">
        <w:rPr>
          <w:lang w:val="es-MX"/>
        </w:rPr>
        <w:t xml:space="preserve">Estas cifras no solo subrayan la importancia económica del sector, sino que también evidencian el enorme peso específico que la logística de última milla tiene en la dinámica del comercio electrónico actual. </w:t>
      </w:r>
    </w:p>
    <w:p w:rsidRPr="00442970" w:rsidR="00AE621B" w:rsidP="00AE621B" w:rsidRDefault="00AE621B" w14:paraId="44228F2E" w14:textId="77777777">
      <w:pPr>
        <w:spacing w:after="0" w:line="240" w:lineRule="auto"/>
        <w:jc w:val="both"/>
        <w:rPr>
          <w:lang w:val="es-MX"/>
        </w:rPr>
      </w:pPr>
    </w:p>
    <w:p w:rsidR="00C371B3" w:rsidP="00AE621B" w:rsidRDefault="6E8D2111" w14:paraId="2944DE82" w14:textId="65461589">
      <w:pPr>
        <w:spacing w:after="0" w:line="240" w:lineRule="auto"/>
        <w:jc w:val="both"/>
        <w:rPr>
          <w:lang w:val="es-MX"/>
        </w:rPr>
      </w:pPr>
      <w:r w:rsidRPr="00442970">
        <w:rPr>
          <w:lang w:val="es-MX"/>
        </w:rPr>
        <w:t>Ante</w:t>
      </w:r>
      <w:r w:rsidRPr="00442970" w:rsidR="3E3D7B56">
        <w:rPr>
          <w:lang w:val="es-MX"/>
        </w:rPr>
        <w:t xml:space="preserve"> es</w:t>
      </w:r>
      <w:r w:rsidRPr="00442970" w:rsidR="3BEE2F0C">
        <w:rPr>
          <w:lang w:val="es-MX"/>
        </w:rPr>
        <w:t>e</w:t>
      </w:r>
      <w:r w:rsidRPr="00442970" w:rsidR="3E3D7B56">
        <w:rPr>
          <w:lang w:val="es-MX"/>
        </w:rPr>
        <w:t xml:space="preserve"> entorno, los fourth party logistics (4PL) juegan un papel crítico. No sólo gestionan la cadena de suministro, sino que también integran y optimizan todos los recursos, capacidades y tecnologías disponibles, lo que los convierte en aliados estratégicos para las empresas de comercio electrónico que buscan sobresalir.</w:t>
      </w:r>
    </w:p>
    <w:p w:rsidRPr="00442970" w:rsidR="00AE621B" w:rsidP="00AE621B" w:rsidRDefault="00AE621B" w14:paraId="59817122" w14:textId="77777777">
      <w:pPr>
        <w:spacing w:after="0" w:line="240" w:lineRule="auto"/>
        <w:jc w:val="both"/>
        <w:rPr>
          <w:lang w:val="es-MX"/>
        </w:rPr>
      </w:pPr>
    </w:p>
    <w:p w:rsidRPr="00442970" w:rsidR="00C371B3" w:rsidP="00AE621B" w:rsidRDefault="3E3D7B56" w14:paraId="100FBDAE" w14:textId="4CD905EC">
      <w:pPr>
        <w:pStyle w:val="Prrafodelista"/>
        <w:numPr>
          <w:ilvl w:val="0"/>
          <w:numId w:val="2"/>
        </w:numPr>
        <w:spacing w:after="0" w:line="240" w:lineRule="auto"/>
        <w:jc w:val="both"/>
        <w:rPr>
          <w:sz w:val="28"/>
          <w:szCs w:val="28"/>
          <w:lang w:val="es-MX"/>
        </w:rPr>
      </w:pPr>
      <w:r w:rsidRPr="00442970">
        <w:rPr>
          <w:sz w:val="28"/>
          <w:szCs w:val="28"/>
          <w:lang w:val="es-MX"/>
        </w:rPr>
        <w:t>La relevancia de los 4PL en este proceso</w:t>
      </w:r>
    </w:p>
    <w:p w:rsidR="00C371B3" w:rsidP="00AE621B" w:rsidRDefault="3E3D7B56" w14:paraId="4A8499BD" w14:textId="35C93D8E">
      <w:pPr>
        <w:spacing w:after="0" w:line="240" w:lineRule="auto"/>
        <w:jc w:val="both"/>
        <w:rPr>
          <w:lang w:val="es-MX"/>
        </w:rPr>
      </w:pPr>
      <w:r w:rsidRPr="00442970">
        <w:rPr>
          <w:lang w:val="es-MX"/>
        </w:rPr>
        <w:t xml:space="preserve">Cada clic en una plataforma de venta online acerca a los consumidores a completar una compra exitosa. Sin embargo, el proceso de entrega es donde realmente se gana o se pierde la lealtad del cliente. La Asociación Mexicana de Venta Online </w:t>
      </w:r>
      <w:hyperlink r:id="rId12">
        <w:r w:rsidRPr="00442970">
          <w:rPr>
            <w:rStyle w:val="Hipervnculo"/>
            <w:lang w:val="es-MX"/>
          </w:rPr>
          <w:t>(AMVO)</w:t>
        </w:r>
      </w:hyperlink>
      <w:r w:rsidRPr="00442970">
        <w:rPr>
          <w:lang w:val="es-MX"/>
        </w:rPr>
        <w:t xml:space="preserve"> señala que la lentitud en la entrega puede llevar a los consumidores a buscar opciones más rápidas. Aquí, la figura de los 4PL es indispensable por los siguientes factores:</w:t>
      </w:r>
    </w:p>
    <w:p w:rsidRPr="00442970" w:rsidR="00AE621B" w:rsidP="00AE621B" w:rsidRDefault="00AE621B" w14:paraId="132600AC" w14:textId="77777777">
      <w:pPr>
        <w:spacing w:after="0" w:line="240" w:lineRule="auto"/>
        <w:jc w:val="both"/>
        <w:rPr>
          <w:lang w:val="es-MX"/>
        </w:rPr>
      </w:pPr>
    </w:p>
    <w:p w:rsidR="00AE621B" w:rsidP="00AE621B" w:rsidRDefault="3E3D7B56" w14:paraId="02B12032" w14:textId="77777777">
      <w:pPr>
        <w:pStyle w:val="Prrafodelista"/>
        <w:numPr>
          <w:ilvl w:val="0"/>
          <w:numId w:val="1"/>
        </w:numPr>
        <w:spacing w:after="0" w:line="240" w:lineRule="auto"/>
        <w:jc w:val="both"/>
        <w:rPr>
          <w:lang w:val="es-MX"/>
        </w:rPr>
      </w:pPr>
      <w:r w:rsidRPr="00442970">
        <w:rPr>
          <w:b/>
          <w:bCs/>
          <w:lang w:val="es-MX"/>
        </w:rPr>
        <w:t xml:space="preserve">Integración de tecnología avanzada: </w:t>
      </w:r>
      <w:r w:rsidRPr="00442970">
        <w:rPr>
          <w:lang w:val="es-MX"/>
        </w:rPr>
        <w:t>Los 4PL integran tecnologías avanzadas que permiten una gestión eficiente y transparente, desde el seguimiento de envíos en tiempo real hasta soluciones personalizadas adaptadas a cada cliente. Esta capacidad tecnológica es fundamental para cumplir con las expectativas de rapidez y precisión en el comercio electrónico.</w:t>
      </w:r>
    </w:p>
    <w:p w:rsidRPr="00AE621B" w:rsidR="00C371B3" w:rsidP="00AE621B" w:rsidRDefault="00C371B3" w14:paraId="3FFB1E7B" w14:textId="38C8C92B">
      <w:pPr>
        <w:pStyle w:val="Prrafodelista"/>
        <w:spacing w:after="0" w:line="240" w:lineRule="auto"/>
        <w:jc w:val="both"/>
        <w:rPr>
          <w:lang w:val="es-MX"/>
        </w:rPr>
      </w:pPr>
    </w:p>
    <w:p w:rsidRPr="00442970" w:rsidR="00C371B3" w:rsidP="00AE621B" w:rsidRDefault="3E3D7B56" w14:paraId="3136B4CC" w14:textId="3110AA59">
      <w:pPr>
        <w:pStyle w:val="Prrafodelista"/>
        <w:numPr>
          <w:ilvl w:val="0"/>
          <w:numId w:val="1"/>
        </w:numPr>
        <w:spacing w:after="0" w:line="240" w:lineRule="auto"/>
        <w:jc w:val="both"/>
        <w:rPr>
          <w:lang w:val="es-MX"/>
        </w:rPr>
      </w:pPr>
      <w:r w:rsidRPr="00442970">
        <w:rPr>
          <w:b/>
          <w:bCs/>
          <w:lang w:val="es-MX"/>
        </w:rPr>
        <w:t>Flexibilidad y escalabilidad:</w:t>
      </w:r>
      <w:r w:rsidRPr="00442970">
        <w:rPr>
          <w:lang w:val="es-MX"/>
        </w:rPr>
        <w:t xml:space="preserve"> La flexibilidad para adaptarse a cambios en la demanda y la capacidad de manejar fluctuaciones en los volúmenes de envío son esenciales. Los 4PL se destacan por su habilidad para responder eficazmente a las variaciones del mercado gracias a su infraestructura tecnológica y vehicular, garantizando un servicio constante y fiable.</w:t>
      </w:r>
    </w:p>
    <w:p w:rsidRPr="00442970" w:rsidR="00C371B3" w:rsidP="00AE621B" w:rsidRDefault="00C371B3" w14:paraId="33E99D95" w14:textId="3B5D3320">
      <w:pPr>
        <w:spacing w:after="0" w:line="240" w:lineRule="auto"/>
        <w:jc w:val="both"/>
        <w:rPr>
          <w:lang w:val="es-MX"/>
        </w:rPr>
      </w:pPr>
    </w:p>
    <w:p w:rsidR="005C0DCE" w:rsidP="005C0DCE" w:rsidRDefault="3E3D7B56" w14:paraId="38EE6555" w14:textId="77777777">
      <w:pPr>
        <w:pStyle w:val="Prrafodelista"/>
        <w:numPr>
          <w:ilvl w:val="0"/>
          <w:numId w:val="1"/>
        </w:numPr>
        <w:spacing w:after="0" w:line="240" w:lineRule="auto"/>
        <w:jc w:val="both"/>
        <w:rPr>
          <w:lang w:val="es-MX"/>
        </w:rPr>
      </w:pPr>
      <w:r w:rsidRPr="00442970">
        <w:rPr>
          <w:b/>
          <w:bCs/>
          <w:lang w:val="es-MX"/>
        </w:rPr>
        <w:t xml:space="preserve">Optimización de la cadena de suministro: </w:t>
      </w:r>
      <w:r w:rsidRPr="00442970">
        <w:rPr>
          <w:lang w:val="es-MX"/>
        </w:rPr>
        <w:t>Los 4PL optimizan toda la cadena de suministro, desde el almacenamiento hasta la entrega final. Este enfoque no solo asegura que los productos lleguen en condiciones óptimas, sino que también mejora los tiempos de entrega y reduce costos operativos.</w:t>
      </w:r>
    </w:p>
    <w:p w:rsidRPr="005C0DCE" w:rsidR="00C371B3" w:rsidP="005C0DCE" w:rsidRDefault="00C371B3" w14:paraId="133A68A6" w14:textId="792F0C6B">
      <w:pPr>
        <w:spacing w:after="0" w:line="240" w:lineRule="auto"/>
        <w:jc w:val="both"/>
        <w:rPr>
          <w:lang w:val="es-MX"/>
        </w:rPr>
      </w:pPr>
    </w:p>
    <w:p w:rsidRPr="00442970" w:rsidR="00C371B3" w:rsidP="00AE621B" w:rsidRDefault="3E3D7B56" w14:paraId="1E6A2828" w14:textId="5B2E05A4">
      <w:pPr>
        <w:pStyle w:val="Prrafodelista"/>
        <w:numPr>
          <w:ilvl w:val="0"/>
          <w:numId w:val="1"/>
        </w:numPr>
        <w:spacing w:after="0" w:line="240" w:lineRule="auto"/>
        <w:jc w:val="both"/>
        <w:rPr>
          <w:lang w:val="es-MX"/>
        </w:rPr>
      </w:pPr>
      <w:r w:rsidRPr="15CB6ACD" w:rsidR="3E3D7B56">
        <w:rPr>
          <w:b w:val="1"/>
          <w:bCs w:val="1"/>
          <w:lang w:val="es-MX"/>
        </w:rPr>
        <w:t xml:space="preserve">Experiencia y conocimiento del mercado: </w:t>
      </w:r>
      <w:r w:rsidRPr="15CB6ACD" w:rsidR="3E3D7B56">
        <w:rPr>
          <w:lang w:val="es-MX"/>
        </w:rPr>
        <w:t xml:space="preserve">Con un profundo conocimiento de las dinámicas locales y regionales, además de su </w:t>
      </w:r>
      <w:r w:rsidRPr="15CB6ACD" w:rsidR="66B4F036">
        <w:rPr>
          <w:lang w:val="es-MX"/>
        </w:rPr>
        <w:t>experiencia</w:t>
      </w:r>
      <w:r w:rsidRPr="15CB6ACD" w:rsidR="3E3D7B56">
        <w:rPr>
          <w:lang w:val="es-MX"/>
        </w:rPr>
        <w:t xml:space="preserve"> </w:t>
      </w:r>
      <w:r w:rsidRPr="15CB6ACD" w:rsidR="098382E6">
        <w:rPr>
          <w:lang w:val="es-MX"/>
        </w:rPr>
        <w:t>colaborando con todas las paqueterías</w:t>
      </w:r>
      <w:r w:rsidRPr="15CB6ACD" w:rsidR="3E3D7B56">
        <w:rPr>
          <w:lang w:val="es-MX"/>
        </w:rPr>
        <w:t>, los 4PL ofrecen soluciones logísticas que están precisamente alineadas con las necesidades específicas de cada área. Este entendimiento es crucial para superar los desafíos logísticos particulares de diferentes mercados.</w:t>
      </w:r>
    </w:p>
    <w:p w:rsidR="00477671" w:rsidP="00AE621B" w:rsidRDefault="00477671" w14:paraId="73B2BB81" w14:textId="77777777">
      <w:pPr>
        <w:spacing w:after="0" w:line="240" w:lineRule="auto"/>
        <w:jc w:val="both"/>
        <w:rPr>
          <w:lang w:val="es-MX"/>
        </w:rPr>
      </w:pPr>
    </w:p>
    <w:p w:rsidR="00C371B3" w:rsidP="00AE621B" w:rsidRDefault="3E3D7B56" w14:paraId="4D5484F7" w14:textId="5ED270E3">
      <w:pPr>
        <w:spacing w:after="0" w:line="240" w:lineRule="auto"/>
        <w:jc w:val="both"/>
        <w:rPr>
          <w:lang w:val="es-MX"/>
        </w:rPr>
      </w:pPr>
      <w:r w:rsidRPr="15CB6ACD" w:rsidR="3E3D7B56">
        <w:rPr>
          <w:lang w:val="es-MX"/>
        </w:rPr>
        <w:t xml:space="preserve">Sumado a los puntos anteriores, los 4PL brindan la oportunidad de diversificar la cartera de proveedores y la adopción de </w:t>
      </w:r>
      <w:r w:rsidRPr="15CB6ACD" w:rsidR="3E3D7B56">
        <w:rPr>
          <w:lang w:val="es-MX"/>
        </w:rPr>
        <w:t>mini-almacenes</w:t>
      </w:r>
      <w:r w:rsidRPr="15CB6ACD" w:rsidR="3E3D7B56">
        <w:rPr>
          <w:lang w:val="es-MX"/>
        </w:rPr>
        <w:t xml:space="preserve"> en zonas urbanas, factores clave para permitir una distribución más rápida y eficiente. </w:t>
      </w:r>
      <w:r w:rsidRPr="15CB6ACD" w:rsidR="06B3DFAD">
        <w:rPr>
          <w:lang w:val="es-MX"/>
        </w:rPr>
        <w:t>Además</w:t>
      </w:r>
      <w:r w:rsidRPr="15CB6ACD" w:rsidR="3E3D7B56">
        <w:rPr>
          <w:lang w:val="es-MX"/>
        </w:rPr>
        <w:t xml:space="preserve">, la capacidad de automatizar la gestión de inventarios asegura que los productos estén listos para envío inmediato, reduciendo errores y retrasos. </w:t>
      </w:r>
    </w:p>
    <w:p w:rsidRPr="00442970" w:rsidR="00477671" w:rsidP="00AE621B" w:rsidRDefault="00477671" w14:paraId="35AD95B9" w14:textId="77777777">
      <w:pPr>
        <w:spacing w:after="0" w:line="240" w:lineRule="auto"/>
        <w:jc w:val="both"/>
        <w:rPr>
          <w:lang w:val="es-MX"/>
        </w:rPr>
      </w:pPr>
    </w:p>
    <w:p w:rsidRPr="00442970" w:rsidR="00C371B3" w:rsidP="00AE621B" w:rsidRDefault="3E3D7B56" w14:paraId="2F28BB34" w14:textId="15F9B48D">
      <w:pPr>
        <w:spacing w:after="0" w:line="240" w:lineRule="auto"/>
        <w:jc w:val="both"/>
        <w:rPr>
          <w:lang w:val="es-MX"/>
        </w:rPr>
      </w:pPr>
      <w:r w:rsidRPr="00442970">
        <w:rPr>
          <w:lang w:val="es-MX"/>
        </w:rPr>
        <w:t xml:space="preserve">En un entorno donde el </w:t>
      </w:r>
      <w:hyperlink r:id="rId13">
        <w:r w:rsidRPr="00442970">
          <w:rPr>
            <w:rStyle w:val="Hipervnculo"/>
            <w:lang w:val="es-MX"/>
          </w:rPr>
          <w:t>23% de los compradores</w:t>
        </w:r>
      </w:hyperlink>
      <w:r w:rsidRPr="00442970">
        <w:rPr>
          <w:lang w:val="es-MX"/>
        </w:rPr>
        <w:t xml:space="preserve"> abandona sus carritos por problemas de envío, la eficiencia de la última milla se convierte en un diferenciador crucial. En conclusión, el comercio electrónico ya no se trata sólo de vender, sino de saber cómo entregar; en un mercado tan competitivo, los operadores logísticos 4PL no solo optimizan la última milla, sino que transforman la logística en un componente estratégico que potencia toda la experiencia de compra. </w:t>
      </w:r>
    </w:p>
    <w:p w:rsidR="497FE4E2" w:rsidP="00AE621B" w:rsidRDefault="497FE4E2" w14:paraId="72D84EB2" w14:textId="44AD20C3">
      <w:pPr>
        <w:spacing w:after="0" w:line="240" w:lineRule="auto"/>
        <w:jc w:val="center"/>
        <w:rPr>
          <w:rFonts w:ascii="Arial" w:hAnsi="Arial" w:eastAsia="Arial" w:cs="Arial"/>
          <w:color w:val="000000" w:themeColor="text1"/>
          <w:sz w:val="22"/>
          <w:szCs w:val="22"/>
          <w:lang w:val="es-ES"/>
        </w:rPr>
      </w:pPr>
      <w:r w:rsidRPr="4EBF9F44">
        <w:rPr>
          <w:rFonts w:ascii="Arial" w:hAnsi="Arial" w:eastAsia="Arial" w:cs="Arial"/>
          <w:color w:val="000000" w:themeColor="text1"/>
          <w:sz w:val="22"/>
          <w:szCs w:val="22"/>
          <w:lang w:val="es-ES"/>
        </w:rPr>
        <w:t>-o0o-</w:t>
      </w:r>
    </w:p>
    <w:p w:rsidRPr="00442970" w:rsidR="00106AE5" w:rsidP="00AE621B" w:rsidRDefault="00106AE5" w14:paraId="19DCF25C" w14:textId="77777777">
      <w:pPr>
        <w:spacing w:after="0" w:line="240" w:lineRule="auto"/>
        <w:jc w:val="center"/>
        <w:rPr>
          <w:rFonts w:ascii="Arial" w:hAnsi="Arial" w:eastAsia="Arial" w:cs="Arial"/>
          <w:color w:val="000000" w:themeColor="text1"/>
          <w:sz w:val="22"/>
          <w:szCs w:val="22"/>
          <w:lang w:val="es-MX"/>
        </w:rPr>
      </w:pPr>
    </w:p>
    <w:p w:rsidRPr="00442970" w:rsidR="497FE4E2" w:rsidP="00AE621B" w:rsidRDefault="497FE4E2" w14:paraId="6CE6ED24" w14:textId="131A37E1">
      <w:pPr>
        <w:spacing w:after="0" w:line="240" w:lineRule="auto"/>
        <w:ind w:left="-20" w:right="-20"/>
        <w:jc w:val="both"/>
        <w:rPr>
          <w:rFonts w:ascii="Arial" w:hAnsi="Arial" w:eastAsia="Arial" w:cs="Arial"/>
          <w:color w:val="000000" w:themeColor="text1"/>
          <w:sz w:val="20"/>
          <w:szCs w:val="20"/>
          <w:lang w:val="es-MX"/>
        </w:rPr>
      </w:pPr>
      <w:r w:rsidRPr="4EBF9F44">
        <w:rPr>
          <w:rFonts w:ascii="Arial" w:hAnsi="Arial" w:eastAsia="Arial" w:cs="Arial"/>
          <w:b/>
          <w:bCs/>
          <w:color w:val="000000" w:themeColor="text1"/>
          <w:sz w:val="20"/>
          <w:szCs w:val="20"/>
          <w:u w:val="single"/>
          <w:lang w:val="es-ES"/>
        </w:rPr>
        <w:t>Acerca de Mail Boxes ETC</w:t>
      </w:r>
    </w:p>
    <w:p w:rsidRPr="00442970" w:rsidR="497FE4E2" w:rsidP="00AE621B" w:rsidRDefault="497FE4E2" w14:paraId="28A2CD99" w14:textId="18B39CFF">
      <w:pPr>
        <w:spacing w:after="0" w:line="240" w:lineRule="auto"/>
        <w:ind w:left="-20" w:right="-20"/>
        <w:jc w:val="both"/>
        <w:rPr>
          <w:rFonts w:ascii="Arial" w:hAnsi="Arial" w:eastAsia="Arial" w:cs="Arial"/>
          <w:color w:val="000000" w:themeColor="text1"/>
          <w:sz w:val="20"/>
          <w:szCs w:val="20"/>
          <w:lang w:val="es-MX"/>
        </w:rPr>
      </w:pPr>
      <w:r w:rsidRPr="4EBF9F44">
        <w:rPr>
          <w:rFonts w:ascii="Arial" w:hAnsi="Arial" w:eastAsia="Arial" w:cs="Arial"/>
          <w:color w:val="000000" w:themeColor="text1"/>
          <w:sz w:val="20"/>
          <w:szCs w:val="20"/>
          <w:lang w:val="es-ES"/>
        </w:rPr>
        <w:t>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Pr="00442970" w:rsidR="4EBF9F44" w:rsidP="00AE621B" w:rsidRDefault="4EBF9F44" w14:paraId="1549BADA" w14:textId="79498925">
      <w:pPr>
        <w:spacing w:after="0" w:line="240" w:lineRule="auto"/>
        <w:jc w:val="both"/>
        <w:rPr>
          <w:rFonts w:ascii="Aptos" w:hAnsi="Aptos" w:eastAsia="Aptos" w:cs="Aptos"/>
          <w:color w:val="000000" w:themeColor="text1"/>
          <w:lang w:val="es-MX"/>
        </w:rPr>
      </w:pPr>
    </w:p>
    <w:p w:rsidRPr="00442970" w:rsidR="4EBF9F44" w:rsidP="00AE621B" w:rsidRDefault="4EBF9F44" w14:paraId="7E69FB6F" w14:textId="7461EB61">
      <w:pPr>
        <w:spacing w:after="0" w:line="240" w:lineRule="auto"/>
        <w:rPr>
          <w:lang w:val="es-MX"/>
        </w:rPr>
      </w:pPr>
    </w:p>
    <w:p w:rsidRPr="00442970" w:rsidR="00C371B3" w:rsidP="00AE621B" w:rsidRDefault="00C371B3" w14:paraId="2C078E63" w14:textId="3E3D7B56">
      <w:pPr>
        <w:spacing w:after="0" w:line="240" w:lineRule="auto"/>
        <w:rPr>
          <w:lang w:val="es-MX"/>
        </w:rPr>
      </w:pPr>
    </w:p>
    <w:sectPr w:rsidRPr="00442970" w:rsidR="00C371B3">
      <w:headerReference w:type="default" r:id="rId14"/>
      <w:footerReference w:type="default" r:id="rId1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4DBB" w:rsidRDefault="00384DBB" w14:paraId="592710F7" w14:textId="77777777">
      <w:pPr>
        <w:spacing w:after="0" w:line="240" w:lineRule="auto"/>
      </w:pPr>
      <w:r>
        <w:separator/>
      </w:r>
    </w:p>
  </w:endnote>
  <w:endnote w:type="continuationSeparator" w:id="0">
    <w:p w:rsidR="00384DBB" w:rsidRDefault="00384DBB" w14:paraId="2D5ADFBE" w14:textId="77777777">
      <w:pPr>
        <w:spacing w:after="0" w:line="240" w:lineRule="auto"/>
      </w:pPr>
      <w:r>
        <w:continuationSeparator/>
      </w:r>
    </w:p>
  </w:endnote>
  <w:endnote w:type="continuationNotice" w:id="1">
    <w:p w:rsidR="00384DBB" w:rsidRDefault="00384DBB" w14:paraId="2C4534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panose1 w:val="020B0004020202020204"/>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BF9F44" w:rsidTr="4EBF9F44" w14:paraId="702DCF04" w14:textId="77777777">
      <w:trPr>
        <w:trHeight w:val="300"/>
      </w:trPr>
      <w:tc>
        <w:tcPr>
          <w:tcW w:w="3120" w:type="dxa"/>
        </w:tcPr>
        <w:p w:rsidR="4EBF9F44" w:rsidP="4EBF9F44" w:rsidRDefault="4EBF9F44" w14:paraId="6A85D904" w14:textId="638237F2">
          <w:pPr>
            <w:pStyle w:val="Encabezado"/>
            <w:ind w:left="-115"/>
          </w:pPr>
        </w:p>
      </w:tc>
      <w:tc>
        <w:tcPr>
          <w:tcW w:w="3120" w:type="dxa"/>
        </w:tcPr>
        <w:p w:rsidR="4EBF9F44" w:rsidP="4EBF9F44" w:rsidRDefault="4EBF9F44" w14:paraId="0CE90C91" w14:textId="431A73D5">
          <w:pPr>
            <w:pStyle w:val="Encabezado"/>
            <w:jc w:val="center"/>
          </w:pPr>
        </w:p>
      </w:tc>
      <w:tc>
        <w:tcPr>
          <w:tcW w:w="3120" w:type="dxa"/>
        </w:tcPr>
        <w:p w:rsidR="4EBF9F44" w:rsidP="4EBF9F44" w:rsidRDefault="4EBF9F44" w14:paraId="7EF955D5" w14:textId="10927073">
          <w:pPr>
            <w:pStyle w:val="Encabezado"/>
            <w:ind w:right="-115"/>
            <w:jc w:val="right"/>
          </w:pPr>
        </w:p>
      </w:tc>
    </w:tr>
  </w:tbl>
  <w:p w:rsidR="4EBF9F44" w:rsidP="4EBF9F44" w:rsidRDefault="4EBF9F44" w14:paraId="7AF21962" w14:textId="354C4C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4DBB" w:rsidRDefault="00384DBB" w14:paraId="32ED3BFB" w14:textId="77777777">
      <w:pPr>
        <w:spacing w:after="0" w:line="240" w:lineRule="auto"/>
      </w:pPr>
      <w:r>
        <w:separator/>
      </w:r>
    </w:p>
  </w:footnote>
  <w:footnote w:type="continuationSeparator" w:id="0">
    <w:p w:rsidR="00384DBB" w:rsidRDefault="00384DBB" w14:paraId="1E2499C5" w14:textId="77777777">
      <w:pPr>
        <w:spacing w:after="0" w:line="240" w:lineRule="auto"/>
      </w:pPr>
      <w:r>
        <w:continuationSeparator/>
      </w:r>
    </w:p>
  </w:footnote>
  <w:footnote w:type="continuationNotice" w:id="1">
    <w:p w:rsidR="00384DBB" w:rsidRDefault="00384DBB" w14:paraId="179A2A7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BF9F44" w:rsidTr="4EBF9F44" w14:paraId="54AAF743" w14:textId="77777777">
      <w:trPr>
        <w:trHeight w:val="300"/>
      </w:trPr>
      <w:tc>
        <w:tcPr>
          <w:tcW w:w="3120" w:type="dxa"/>
        </w:tcPr>
        <w:p w:rsidR="4EBF9F44" w:rsidP="4EBF9F44" w:rsidRDefault="4EBF9F44" w14:paraId="758AC229" w14:textId="2ED22D76">
          <w:pPr>
            <w:pStyle w:val="Encabezado"/>
            <w:ind w:left="-115"/>
          </w:pPr>
          <w:r>
            <w:rPr>
              <w:noProof/>
            </w:rPr>
            <w:drawing>
              <wp:inline distT="0" distB="0" distL="0" distR="0" wp14:anchorId="12382577" wp14:editId="1FC92305">
                <wp:extent cx="1428750" cy="742950"/>
                <wp:effectExtent l="0" t="0" r="0" b="0"/>
                <wp:docPr id="106852242" name="Picture 10685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42950"/>
                        </a:xfrm>
                        <a:prstGeom prst="rect">
                          <a:avLst/>
                        </a:prstGeom>
                      </pic:spPr>
                    </pic:pic>
                  </a:graphicData>
                </a:graphic>
              </wp:inline>
            </w:drawing>
          </w:r>
          <w:r>
            <w:br/>
          </w:r>
        </w:p>
      </w:tc>
      <w:tc>
        <w:tcPr>
          <w:tcW w:w="3120" w:type="dxa"/>
        </w:tcPr>
        <w:p w:rsidR="4EBF9F44" w:rsidP="4EBF9F44" w:rsidRDefault="4EBF9F44" w14:paraId="2E89C684" w14:textId="715AF19C">
          <w:pPr>
            <w:pStyle w:val="Encabezado"/>
            <w:jc w:val="center"/>
          </w:pPr>
        </w:p>
      </w:tc>
      <w:tc>
        <w:tcPr>
          <w:tcW w:w="3120" w:type="dxa"/>
        </w:tcPr>
        <w:p w:rsidR="4EBF9F44" w:rsidP="4EBF9F44" w:rsidRDefault="4EBF9F44" w14:paraId="68995BE6" w14:textId="593752B7">
          <w:pPr>
            <w:pStyle w:val="Encabezado"/>
            <w:ind w:right="-115"/>
            <w:jc w:val="right"/>
          </w:pPr>
        </w:p>
      </w:tc>
    </w:tr>
  </w:tbl>
  <w:p w:rsidR="4EBF9F44" w:rsidP="4EBF9F44" w:rsidRDefault="4EBF9F44" w14:paraId="502DE91A" w14:textId="6ACFD07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CEF8"/>
    <w:multiLevelType w:val="hybridMultilevel"/>
    <w:tmpl w:val="9C68F0A6"/>
    <w:lvl w:ilvl="0" w:tplc="997A6E36">
      <w:start w:val="1"/>
      <w:numFmt w:val="decimal"/>
      <w:lvlText w:val="%1."/>
      <w:lvlJc w:val="left"/>
      <w:pPr>
        <w:ind w:left="720" w:hanging="360"/>
      </w:pPr>
    </w:lvl>
    <w:lvl w:ilvl="1" w:tplc="953A7A4C">
      <w:start w:val="1"/>
      <w:numFmt w:val="lowerLetter"/>
      <w:lvlText w:val="%2."/>
      <w:lvlJc w:val="left"/>
      <w:pPr>
        <w:ind w:left="1440" w:hanging="360"/>
      </w:pPr>
    </w:lvl>
    <w:lvl w:ilvl="2" w:tplc="2DCA2406">
      <w:start w:val="1"/>
      <w:numFmt w:val="lowerRoman"/>
      <w:lvlText w:val="%3."/>
      <w:lvlJc w:val="right"/>
      <w:pPr>
        <w:ind w:left="2160" w:hanging="180"/>
      </w:pPr>
    </w:lvl>
    <w:lvl w:ilvl="3" w:tplc="41F00C0E">
      <w:start w:val="1"/>
      <w:numFmt w:val="decimal"/>
      <w:lvlText w:val="%4."/>
      <w:lvlJc w:val="left"/>
      <w:pPr>
        <w:ind w:left="2880" w:hanging="360"/>
      </w:pPr>
    </w:lvl>
    <w:lvl w:ilvl="4" w:tplc="F8962420">
      <w:start w:val="1"/>
      <w:numFmt w:val="lowerLetter"/>
      <w:lvlText w:val="%5."/>
      <w:lvlJc w:val="left"/>
      <w:pPr>
        <w:ind w:left="3600" w:hanging="360"/>
      </w:pPr>
    </w:lvl>
    <w:lvl w:ilvl="5" w:tplc="3B905FD6">
      <w:start w:val="1"/>
      <w:numFmt w:val="lowerRoman"/>
      <w:lvlText w:val="%6."/>
      <w:lvlJc w:val="right"/>
      <w:pPr>
        <w:ind w:left="4320" w:hanging="180"/>
      </w:pPr>
    </w:lvl>
    <w:lvl w:ilvl="6" w:tplc="04A0CA0C">
      <w:start w:val="1"/>
      <w:numFmt w:val="decimal"/>
      <w:lvlText w:val="%7."/>
      <w:lvlJc w:val="left"/>
      <w:pPr>
        <w:ind w:left="5040" w:hanging="360"/>
      </w:pPr>
    </w:lvl>
    <w:lvl w:ilvl="7" w:tplc="B50E8D58">
      <w:start w:val="1"/>
      <w:numFmt w:val="lowerLetter"/>
      <w:lvlText w:val="%8."/>
      <w:lvlJc w:val="left"/>
      <w:pPr>
        <w:ind w:left="5760" w:hanging="360"/>
      </w:pPr>
    </w:lvl>
    <w:lvl w:ilvl="8" w:tplc="ED487220">
      <w:start w:val="1"/>
      <w:numFmt w:val="lowerRoman"/>
      <w:lvlText w:val="%9."/>
      <w:lvlJc w:val="right"/>
      <w:pPr>
        <w:ind w:left="6480" w:hanging="180"/>
      </w:pPr>
    </w:lvl>
  </w:abstractNum>
  <w:abstractNum w:abstractNumId="1" w15:restartNumberingAfterBreak="0">
    <w:nsid w:val="52B42B95"/>
    <w:multiLevelType w:val="hybridMultilevel"/>
    <w:tmpl w:val="F6BE8FEC"/>
    <w:lvl w:ilvl="0" w:tplc="C65AE952">
      <w:start w:val="1"/>
      <w:numFmt w:val="bullet"/>
      <w:lvlText w:val=""/>
      <w:lvlJc w:val="left"/>
      <w:pPr>
        <w:ind w:left="720" w:hanging="360"/>
      </w:pPr>
      <w:rPr>
        <w:rFonts w:hint="default" w:ascii="Symbol" w:hAnsi="Symbol"/>
      </w:rPr>
    </w:lvl>
    <w:lvl w:ilvl="1" w:tplc="7C4C0DD2">
      <w:start w:val="1"/>
      <w:numFmt w:val="bullet"/>
      <w:lvlText w:val="o"/>
      <w:lvlJc w:val="left"/>
      <w:pPr>
        <w:ind w:left="1440" w:hanging="360"/>
      </w:pPr>
      <w:rPr>
        <w:rFonts w:hint="default" w:ascii="Courier New" w:hAnsi="Courier New"/>
      </w:rPr>
    </w:lvl>
    <w:lvl w:ilvl="2" w:tplc="6DF48DE4">
      <w:start w:val="1"/>
      <w:numFmt w:val="bullet"/>
      <w:lvlText w:val=""/>
      <w:lvlJc w:val="left"/>
      <w:pPr>
        <w:ind w:left="2160" w:hanging="360"/>
      </w:pPr>
      <w:rPr>
        <w:rFonts w:hint="default" w:ascii="Wingdings" w:hAnsi="Wingdings"/>
      </w:rPr>
    </w:lvl>
    <w:lvl w:ilvl="3" w:tplc="EF5A0B0A">
      <w:start w:val="1"/>
      <w:numFmt w:val="bullet"/>
      <w:lvlText w:val=""/>
      <w:lvlJc w:val="left"/>
      <w:pPr>
        <w:ind w:left="2880" w:hanging="360"/>
      </w:pPr>
      <w:rPr>
        <w:rFonts w:hint="default" w:ascii="Symbol" w:hAnsi="Symbol"/>
      </w:rPr>
    </w:lvl>
    <w:lvl w:ilvl="4" w:tplc="EB04B804">
      <w:start w:val="1"/>
      <w:numFmt w:val="bullet"/>
      <w:lvlText w:val="o"/>
      <w:lvlJc w:val="left"/>
      <w:pPr>
        <w:ind w:left="3600" w:hanging="360"/>
      </w:pPr>
      <w:rPr>
        <w:rFonts w:hint="default" w:ascii="Courier New" w:hAnsi="Courier New"/>
      </w:rPr>
    </w:lvl>
    <w:lvl w:ilvl="5" w:tplc="F87E9208">
      <w:start w:val="1"/>
      <w:numFmt w:val="bullet"/>
      <w:lvlText w:val=""/>
      <w:lvlJc w:val="left"/>
      <w:pPr>
        <w:ind w:left="4320" w:hanging="360"/>
      </w:pPr>
      <w:rPr>
        <w:rFonts w:hint="default" w:ascii="Wingdings" w:hAnsi="Wingdings"/>
      </w:rPr>
    </w:lvl>
    <w:lvl w:ilvl="6" w:tplc="A0848278">
      <w:start w:val="1"/>
      <w:numFmt w:val="bullet"/>
      <w:lvlText w:val=""/>
      <w:lvlJc w:val="left"/>
      <w:pPr>
        <w:ind w:left="5040" w:hanging="360"/>
      </w:pPr>
      <w:rPr>
        <w:rFonts w:hint="default" w:ascii="Symbol" w:hAnsi="Symbol"/>
      </w:rPr>
    </w:lvl>
    <w:lvl w:ilvl="7" w:tplc="9FF4DDB2">
      <w:start w:val="1"/>
      <w:numFmt w:val="bullet"/>
      <w:lvlText w:val="o"/>
      <w:lvlJc w:val="left"/>
      <w:pPr>
        <w:ind w:left="5760" w:hanging="360"/>
      </w:pPr>
      <w:rPr>
        <w:rFonts w:hint="default" w:ascii="Courier New" w:hAnsi="Courier New"/>
      </w:rPr>
    </w:lvl>
    <w:lvl w:ilvl="8" w:tplc="A2064570">
      <w:start w:val="1"/>
      <w:numFmt w:val="bullet"/>
      <w:lvlText w:val=""/>
      <w:lvlJc w:val="left"/>
      <w:pPr>
        <w:ind w:left="6480" w:hanging="360"/>
      </w:pPr>
      <w:rPr>
        <w:rFonts w:hint="default" w:ascii="Wingdings" w:hAnsi="Wingdings"/>
      </w:rPr>
    </w:lvl>
  </w:abstractNum>
  <w:num w:numId="1" w16cid:durableId="2077510453">
    <w:abstractNumId w:val="0"/>
  </w:num>
  <w:num w:numId="2" w16cid:durableId="6562278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EBC9FF"/>
    <w:rsid w:val="00106AE5"/>
    <w:rsid w:val="001F3FA3"/>
    <w:rsid w:val="00205200"/>
    <w:rsid w:val="00295342"/>
    <w:rsid w:val="002C7314"/>
    <w:rsid w:val="00384DBB"/>
    <w:rsid w:val="003F36E0"/>
    <w:rsid w:val="00442970"/>
    <w:rsid w:val="00477671"/>
    <w:rsid w:val="00557AC8"/>
    <w:rsid w:val="005911CF"/>
    <w:rsid w:val="00595245"/>
    <w:rsid w:val="005C0DCE"/>
    <w:rsid w:val="00734947"/>
    <w:rsid w:val="00883DC8"/>
    <w:rsid w:val="00933C8A"/>
    <w:rsid w:val="009A6DE6"/>
    <w:rsid w:val="00AE621B"/>
    <w:rsid w:val="00C371B3"/>
    <w:rsid w:val="00C62622"/>
    <w:rsid w:val="00DF7D2D"/>
    <w:rsid w:val="00F54251"/>
    <w:rsid w:val="06B3DFAD"/>
    <w:rsid w:val="098382E6"/>
    <w:rsid w:val="15CB6ACD"/>
    <w:rsid w:val="19F07F1F"/>
    <w:rsid w:val="1AA705D8"/>
    <w:rsid w:val="1DDEA69A"/>
    <w:rsid w:val="250F3DCA"/>
    <w:rsid w:val="2FE83BE0"/>
    <w:rsid w:val="38BA0F3F"/>
    <w:rsid w:val="3BEE2F0C"/>
    <w:rsid w:val="3E3D7B56"/>
    <w:rsid w:val="406830C8"/>
    <w:rsid w:val="430A60B4"/>
    <w:rsid w:val="46420176"/>
    <w:rsid w:val="47F5FF0A"/>
    <w:rsid w:val="497FE4E2"/>
    <w:rsid w:val="4EBF9F44"/>
    <w:rsid w:val="5D62F60F"/>
    <w:rsid w:val="61D824F1"/>
    <w:rsid w:val="66B4F036"/>
    <w:rsid w:val="68CB8BA4"/>
    <w:rsid w:val="6DEBC9FF"/>
    <w:rsid w:val="6E8D2111"/>
    <w:rsid w:val="718D2442"/>
    <w:rsid w:val="77CD9098"/>
    <w:rsid w:val="79A510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BC9FF"/>
  <w15:chartTrackingRefBased/>
  <w15:docId w15:val="{A80CBF0C-4E86-4EE8-8BAA-55E93847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Ttulo2">
    <w:name w:val="heading 2"/>
    <w:basedOn w:val="Normal"/>
    <w:next w:val="Normal"/>
    <w:link w:val="Ttulo2C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Ttulo3">
    <w:name w:val="heading 3"/>
    <w:basedOn w:val="Normal"/>
    <w:next w:val="Normal"/>
    <w:link w:val="Ttulo3C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unhideWhenUsed/>
    <w:qFormat/>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unhideWhenUsed/>
    <w:qFormat/>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unhideWhenUsed/>
    <w:qFormat/>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unhideWhenUsed/>
    <w:qFormat/>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unhideWhenUsed/>
    <w:qFormat/>
    <w:pPr>
      <w:keepNext/>
      <w:keepLines/>
      <w:spacing w:after="0"/>
      <w:outlineLvl w:val="8"/>
    </w:pPr>
    <w:rPr>
      <w:rFonts w:eastAsiaTheme="majorEastAsia" w:cstheme="majorBidi"/>
      <w:color w:val="272727" w:themeColor="text1" w:themeTint="D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uiPriority w:val="9"/>
    <w:rPr>
      <w:rFonts w:asciiTheme="majorHAnsi" w:hAnsiTheme="majorHAnsi" w:eastAsiaTheme="majorEastAsia" w:cstheme="majorBidi"/>
      <w:color w:val="0F4761" w:themeColor="accent1" w:themeShade="BF"/>
      <w:sz w:val="40"/>
      <w:szCs w:val="40"/>
    </w:rPr>
  </w:style>
  <w:style w:type="character" w:styleId="Ttulo2Car" w:customStyle="1">
    <w:name w:val="Título 2 Car"/>
    <w:basedOn w:val="Fuentedeprrafopredeter"/>
    <w:link w:val="Ttulo2"/>
    <w:uiPriority w:val="9"/>
    <w:rPr>
      <w:rFonts w:asciiTheme="majorHAnsi" w:hAnsiTheme="majorHAnsi" w:eastAsiaTheme="majorEastAsia" w:cstheme="majorBidi"/>
      <w:color w:val="0F4761" w:themeColor="accent1" w:themeShade="BF"/>
      <w:sz w:val="32"/>
      <w:szCs w:val="32"/>
    </w:rPr>
  </w:style>
  <w:style w:type="character" w:styleId="Ttulo3Car" w:customStyle="1">
    <w:name w:val="Título 3 Car"/>
    <w:basedOn w:val="Fuentedeprrafopredeter"/>
    <w:link w:val="Ttulo3"/>
    <w:uiPriority w:val="9"/>
    <w:rPr>
      <w:rFonts w:eastAsiaTheme="majorEastAsia" w:cstheme="majorBidi"/>
      <w:color w:val="0F4761" w:themeColor="accent1" w:themeShade="BF"/>
      <w:sz w:val="28"/>
      <w:szCs w:val="28"/>
    </w:rPr>
  </w:style>
  <w:style w:type="character" w:styleId="Ttulo4Car" w:customStyle="1">
    <w:name w:val="Título 4 Car"/>
    <w:basedOn w:val="Fuentedeprrafopredeter"/>
    <w:link w:val="Ttulo4"/>
    <w:uiPriority w:val="9"/>
    <w:rPr>
      <w:rFonts w:eastAsiaTheme="majorEastAsia" w:cstheme="majorBidi"/>
      <w:i/>
      <w:iCs/>
      <w:color w:val="0F4761" w:themeColor="accent1" w:themeShade="BF"/>
    </w:rPr>
  </w:style>
  <w:style w:type="character" w:styleId="Ttulo5Car" w:customStyle="1">
    <w:name w:val="Título 5 Car"/>
    <w:basedOn w:val="Fuentedeprrafopredeter"/>
    <w:link w:val="Ttulo5"/>
    <w:uiPriority w:val="9"/>
    <w:rPr>
      <w:rFonts w:eastAsiaTheme="majorEastAsia" w:cstheme="majorBidi"/>
      <w:color w:val="0F4761" w:themeColor="accent1" w:themeShade="BF"/>
    </w:rPr>
  </w:style>
  <w:style w:type="character" w:styleId="Ttulo6Car" w:customStyle="1">
    <w:name w:val="Título 6 Car"/>
    <w:basedOn w:val="Fuentedeprrafopredeter"/>
    <w:link w:val="Ttulo6"/>
    <w:uiPriority w:val="9"/>
    <w:rPr>
      <w:rFonts w:eastAsiaTheme="majorEastAsia" w:cstheme="majorBidi"/>
      <w:i/>
      <w:iCs/>
      <w:color w:val="595959" w:themeColor="text1" w:themeTint="A6"/>
    </w:rPr>
  </w:style>
  <w:style w:type="character" w:styleId="Ttulo7Car" w:customStyle="1">
    <w:name w:val="Título 7 Car"/>
    <w:basedOn w:val="Fuentedeprrafopredeter"/>
    <w:link w:val="Ttulo7"/>
    <w:uiPriority w:val="9"/>
    <w:rPr>
      <w:rFonts w:eastAsiaTheme="majorEastAsia" w:cstheme="majorBidi"/>
      <w:color w:val="595959" w:themeColor="text1" w:themeTint="A6"/>
    </w:rPr>
  </w:style>
  <w:style w:type="character" w:styleId="Ttulo8Car" w:customStyle="1">
    <w:name w:val="Título 8 Car"/>
    <w:basedOn w:val="Fuentedeprrafopredeter"/>
    <w:link w:val="Ttulo8"/>
    <w:uiPriority w:val="9"/>
    <w:rPr>
      <w:rFonts w:eastAsiaTheme="majorEastAsia" w:cstheme="majorBidi"/>
      <w:i/>
      <w:iCs/>
      <w:color w:val="272727" w:themeColor="text1" w:themeTint="D8"/>
    </w:rPr>
  </w:style>
  <w:style w:type="character" w:styleId="Ttulo9Car" w:customStyle="1">
    <w:name w:val="Título 9 Car"/>
    <w:basedOn w:val="Fuentedeprrafopredeter"/>
    <w:link w:val="Ttulo9"/>
    <w:uiPriority w:val="9"/>
    <w:rPr>
      <w:rFonts w:eastAsiaTheme="majorEastAsia" w:cstheme="majorBidi"/>
      <w:color w:val="272727" w:themeColor="text1" w:themeTint="D8"/>
    </w:rPr>
  </w:style>
  <w:style w:type="character" w:styleId="TtuloCar" w:customStyle="1">
    <w:name w:val="Título Car"/>
    <w:basedOn w:val="Fuentedeprrafopredeter"/>
    <w:link w:val="Ttulo"/>
    <w:uiPriority w:val="10"/>
    <w:rPr>
      <w:rFonts w:asciiTheme="majorHAnsi" w:hAnsiTheme="majorHAnsi" w:eastAsiaTheme="majorEastAsia" w:cstheme="majorBidi"/>
      <w:spacing w:val="-10"/>
      <w:kern w:val="28"/>
      <w:sz w:val="56"/>
      <w:szCs w:val="56"/>
    </w:rPr>
  </w:style>
  <w:style w:type="paragraph" w:styleId="Ttulo">
    <w:name w:val="Title"/>
    <w:basedOn w:val="Normal"/>
    <w:next w:val="Normal"/>
    <w:link w:val="TtuloC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tuloCar" w:customStyle="1">
    <w:name w:val="Subtítulo Car"/>
    <w:basedOn w:val="Fuentedeprrafopredeter"/>
    <w:link w:val="Subttulo"/>
    <w:uiPriority w:val="11"/>
    <w:rPr>
      <w:rFonts w:eastAsiaTheme="majorEastAsia" w:cstheme="majorBidi"/>
      <w:color w:val="595959" w:themeColor="text1" w:themeTint="A6"/>
      <w:spacing w:val="15"/>
      <w:sz w:val="28"/>
      <w:szCs w:val="28"/>
    </w:rPr>
  </w:style>
  <w:style w:type="paragraph" w:styleId="Subttulo">
    <w:name w:val="Subtitle"/>
    <w:basedOn w:val="Normal"/>
    <w:next w:val="Normal"/>
    <w:link w:val="SubttuloCar"/>
    <w:uiPriority w:val="11"/>
    <w:qFormat/>
    <w:pPr>
      <w:numPr>
        <w:ilvl w:val="1"/>
      </w:numPr>
    </w:pPr>
    <w:rPr>
      <w:rFonts w:eastAsiaTheme="majorEastAsia" w:cstheme="majorBidi"/>
      <w:color w:val="595959" w:themeColor="text1" w:themeTint="A6"/>
      <w:spacing w:val="15"/>
      <w:sz w:val="28"/>
      <w:szCs w:val="28"/>
    </w:rPr>
  </w:style>
  <w:style w:type="character" w:styleId="nfasisintenso">
    <w:name w:val="Intense Emphasis"/>
    <w:basedOn w:val="Fuentedeprrafopredeter"/>
    <w:uiPriority w:val="21"/>
    <w:qFormat/>
    <w:rPr>
      <w:i/>
      <w:iCs/>
      <w:color w:val="0F4761" w:themeColor="accent1" w:themeShade="BF"/>
    </w:rPr>
  </w:style>
  <w:style w:type="character" w:styleId="CitaCar" w:customStyle="1">
    <w:name w:val="Cita Car"/>
    <w:basedOn w:val="Fuentedeprrafopredeter"/>
    <w:link w:val="Cita"/>
    <w:uiPriority w:val="29"/>
    <w:rPr>
      <w:i/>
      <w:iCs/>
      <w:color w:val="404040" w:themeColor="text1" w:themeTint="BF"/>
    </w:rPr>
  </w:style>
  <w:style w:type="paragraph" w:styleId="Cita">
    <w:name w:val="Quote"/>
    <w:basedOn w:val="Normal"/>
    <w:next w:val="Normal"/>
    <w:link w:val="CitaCar"/>
    <w:uiPriority w:val="29"/>
    <w:qFormat/>
    <w:pPr>
      <w:spacing w:before="160"/>
      <w:jc w:val="center"/>
    </w:pPr>
    <w:rPr>
      <w:i/>
      <w:iCs/>
      <w:color w:val="404040" w:themeColor="text1" w:themeTint="BF"/>
    </w:rPr>
  </w:style>
  <w:style w:type="character" w:styleId="CitadestacadaCar" w:customStyle="1">
    <w:name w:val="Cita destacada Car"/>
    <w:basedOn w:val="Fuentedeprrafopredeter"/>
    <w:link w:val="Citadestacada"/>
    <w:uiPriority w:val="30"/>
    <w:rPr>
      <w:i/>
      <w:iCs/>
      <w:color w:val="0F4761" w:themeColor="accent1" w:themeShade="BF"/>
    </w:rPr>
  </w:style>
  <w:style w:type="paragraph" w:styleId="Citadestacada">
    <w:name w:val="Intense Quote"/>
    <w:basedOn w:val="Normal"/>
    <w:next w:val="Normal"/>
    <w:link w:val="CitadestacadaC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Referenciaintensa">
    <w:name w:val="Intense Reference"/>
    <w:basedOn w:val="Fuentedeprrafopredeter"/>
    <w:uiPriority w:val="32"/>
    <w:qFormat/>
    <w:rPr>
      <w:b/>
      <w:bCs/>
      <w:smallCaps/>
      <w:color w:val="0F4761" w:themeColor="accent1" w:themeShade="BF"/>
      <w:spacing w:val="5"/>
    </w:rPr>
  </w:style>
  <w:style w:type="character" w:styleId="Hipervnculo">
    <w:name w:val="Hyperlink"/>
    <w:basedOn w:val="Fuentedeprrafopredeter"/>
    <w:uiPriority w:val="99"/>
    <w:unhideWhenUsed/>
    <w:rPr>
      <w:color w:val="467886" w:themeColor="hyperlink"/>
      <w:u w:val="single"/>
    </w:rPr>
  </w:style>
  <w:style w:type="paragraph" w:styleId="Prrafodelista">
    <w:name w:val="List Paragraph"/>
    <w:basedOn w:val="Normal"/>
    <w:uiPriority w:val="34"/>
    <w:qFormat/>
    <w:pPr>
      <w:ind w:left="720"/>
      <w:contextualSpacing/>
    </w:pPr>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salecycle.com/es/blog/guias/razones-abandonar-carrito-compra/"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amvo.org.mx/estudios/estudio-sobre-venta-online-en-mexico-2024/"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mordorintelligence.com/es/industry-reports/latin-america-e-commerce-logistics-market"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es.statista.com/estadisticas/1410248/tamano-del-mercado-global-de-logistica-de-ultima-milla-kilometr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50C4D2945834EAF0D2FCB56C37240" ma:contentTypeVersion="15" ma:contentTypeDescription="Create a new document." ma:contentTypeScope="" ma:versionID="17ece98d1c95446961584e1e35dd6e7d">
  <xsd:schema xmlns:xsd="http://www.w3.org/2001/XMLSchema" xmlns:xs="http://www.w3.org/2001/XMLSchema" xmlns:p="http://schemas.microsoft.com/office/2006/metadata/properties" xmlns:ns2="1cf0f527-834d-490e-a60d-b57434dc856c" xmlns:ns3="cc7bb8b8-49ce-4cf5-9d69-d7e15f4c37c3" targetNamespace="http://schemas.microsoft.com/office/2006/metadata/properties" ma:root="true" ma:fieldsID="2279ffe76ce6ffe49a86efe322acbb69" ns2:_="" ns3:_="">
    <xsd:import namespace="1cf0f527-834d-490e-a60d-b57434dc856c"/>
    <xsd:import namespace="cc7bb8b8-49ce-4cf5-9d69-d7e15f4c3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f527-834d-490e-a60d-b57434dc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b8b8-49ce-4cf5-9d69-d7e15f4c37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2edc64-460f-468a-b729-d618ebca4ef6}" ma:internalName="TaxCatchAll" ma:showField="CatchAllData" ma:web="cc7bb8b8-49ce-4cf5-9d69-d7e15f4c3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f527-834d-490e-a60d-b57434dc856c">
      <Terms xmlns="http://schemas.microsoft.com/office/infopath/2007/PartnerControls"/>
    </lcf76f155ced4ddcb4097134ff3c332f>
    <TaxCatchAll xmlns="cc7bb8b8-49ce-4cf5-9d69-d7e15f4c37c3" xsi:nil="true"/>
    <SharedWithUsers xmlns="cc7bb8b8-49ce-4cf5-9d69-d7e15f4c37c3">
      <UserInfo>
        <DisplayName>Alejandra Ferreiro Nuñez</DisplayName>
        <AccountId>51</AccountId>
        <AccountType/>
      </UserInfo>
      <UserInfo>
        <DisplayName>Rodrigo Franco Martínez</DisplayName>
        <AccountId>65</AccountId>
        <AccountType/>
      </UserInfo>
      <UserInfo>
        <DisplayName>Maria Fernanda Navarro Teran</DisplayName>
        <AccountId>22</AccountId>
        <AccountType/>
      </UserInfo>
    </SharedWithUsers>
  </documentManagement>
</p:properties>
</file>

<file path=customXml/itemProps1.xml><?xml version="1.0" encoding="utf-8"?>
<ds:datastoreItem xmlns:ds="http://schemas.openxmlformats.org/officeDocument/2006/customXml" ds:itemID="{07216D4A-4D5A-4EAC-8BF3-762E694BD314}"/>
</file>

<file path=customXml/itemProps2.xml><?xml version="1.0" encoding="utf-8"?>
<ds:datastoreItem xmlns:ds="http://schemas.openxmlformats.org/officeDocument/2006/customXml" ds:itemID="{4DAE9CE8-8A0D-4B58-AFBF-D61D28031511}">
  <ds:schemaRefs>
    <ds:schemaRef ds:uri="http://schemas.microsoft.com/sharepoint/v3/contenttype/forms"/>
  </ds:schemaRefs>
</ds:datastoreItem>
</file>

<file path=customXml/itemProps3.xml><?xml version="1.0" encoding="utf-8"?>
<ds:datastoreItem xmlns:ds="http://schemas.openxmlformats.org/officeDocument/2006/customXml" ds:itemID="{D1A0E0E1-95A0-4953-959B-4F23D08C33DA}">
  <ds:schemaRefs>
    <ds:schemaRef ds:uri="http://schemas.microsoft.com/office/2006/metadata/properties"/>
    <ds:schemaRef ds:uri="http://schemas.microsoft.com/office/infopath/2007/PartnerControls"/>
    <ds:schemaRef ds:uri="1cf0f527-834d-490e-a60d-b57434dc856c"/>
    <ds:schemaRef ds:uri="cc7bb8b8-49ce-4cf5-9d69-d7e15f4c37c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Ortega Jaime</dc:creator>
  <cp:keywords/>
  <dc:description/>
  <cp:lastModifiedBy>Maria Fernanda Navarro Teran</cp:lastModifiedBy>
  <cp:revision>13</cp:revision>
  <dcterms:created xsi:type="dcterms:W3CDTF">2024-04-15T22:11:00Z</dcterms:created>
  <dcterms:modified xsi:type="dcterms:W3CDTF">2024-04-15T23:59:41Z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0x0101001DE50C4D2945834EAF0D2FCB56C37240</vt:lpwstr>
  </property>
  <property fmtid="{D5CDD505-2E9C-101B-9397-08002B2CF9AE}" pid="3" name="MediaServiceImageTags">
    <vt:lpwstr/>
  </property>
</Properties>
</file>